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B1" w:rsidRDefault="00054AB1">
      <w:pPr>
        <w:pStyle w:val="DefaultStyle"/>
        <w:jc w:val="center"/>
        <w:rPr>
          <w:sz w:val="24"/>
          <w:szCs w:val="24"/>
        </w:rPr>
      </w:pPr>
    </w:p>
    <w:p w:rsidR="00795046" w:rsidRDefault="00054AB1" w:rsidP="00795046">
      <w:pPr>
        <w:pStyle w:val="DefaultStyle"/>
        <w:spacing w:before="240" w:after="240"/>
        <w:jc w:val="center"/>
        <w:rPr>
          <w:rFonts w:ascii="Verdana"/>
          <w:b/>
          <w:szCs w:val="24"/>
        </w:rPr>
      </w:pPr>
      <w:r>
        <w:rPr>
          <w:rFonts w:ascii="Verdana"/>
          <w:b/>
          <w:szCs w:val="24"/>
        </w:rPr>
        <w:t>AC</w:t>
      </w:r>
      <w:r>
        <w:rPr>
          <w:rFonts w:ascii="Verdana"/>
          <w:b/>
          <w:szCs w:val="24"/>
        </w:rPr>
        <w:t>Ó</w:t>
      </w:r>
      <w:r>
        <w:rPr>
          <w:rFonts w:ascii="Verdana"/>
          <w:b/>
          <w:szCs w:val="24"/>
        </w:rPr>
        <w:t>RD</w:t>
      </w:r>
      <w:r>
        <w:rPr>
          <w:rFonts w:ascii="Verdana"/>
          <w:b/>
          <w:szCs w:val="24"/>
        </w:rPr>
        <w:t>Ã</w:t>
      </w:r>
      <w:r>
        <w:rPr>
          <w:rFonts w:ascii="Verdana"/>
          <w:b/>
          <w:szCs w:val="24"/>
        </w:rPr>
        <w:t>O N</w:t>
      </w:r>
      <w:r>
        <w:rPr>
          <w:rFonts w:ascii="Verdana"/>
          <w:b/>
          <w:szCs w:val="24"/>
        </w:rPr>
        <w:t>º</w:t>
      </w:r>
      <w:r>
        <w:rPr>
          <w:rFonts w:ascii="Verdana"/>
          <w:b/>
          <w:szCs w:val="24"/>
        </w:rPr>
        <w:t xml:space="preserve"> </w:t>
      </w:r>
      <w:r w:rsidR="0023704C">
        <w:rPr>
          <w:rFonts w:ascii="Verdana"/>
          <w:b/>
          <w:szCs w:val="24"/>
        </w:rPr>
        <w:t>00</w:t>
      </w:r>
      <w:r w:rsidR="00296EDC">
        <w:rPr>
          <w:rFonts w:ascii="Verdana"/>
          <w:b/>
          <w:szCs w:val="24"/>
        </w:rPr>
        <w:t>9</w:t>
      </w:r>
      <w:bookmarkStart w:id="0" w:name="_GoBack"/>
      <w:bookmarkEnd w:id="0"/>
      <w:r>
        <w:rPr>
          <w:rFonts w:ascii="Verdana"/>
          <w:b/>
          <w:szCs w:val="24"/>
        </w:rPr>
        <w:t>/2013</w:t>
      </w:r>
    </w:p>
    <w:p w:rsidR="00795046" w:rsidRPr="00795046" w:rsidRDefault="00795046" w:rsidP="00795046">
      <w:pPr>
        <w:pStyle w:val="DefaultStyle"/>
        <w:spacing w:before="240" w:after="240"/>
        <w:jc w:val="center"/>
        <w:rPr>
          <w:rFonts w:ascii="Arial" w:hAnsi="Arial" w:cs="Arial"/>
          <w:b/>
        </w:rPr>
      </w:pPr>
    </w:p>
    <w:p w:rsidR="00795046" w:rsidRPr="00795046" w:rsidRDefault="00FA4C56" w:rsidP="00795046">
      <w:pPr>
        <w:spacing w:before="100" w:beforeAutospacing="1" w:after="100" w:afterAutospacing="1" w:line="360" w:lineRule="auto"/>
        <w:ind w:left="2880"/>
        <w:jc w:val="both"/>
        <w:rPr>
          <w:rFonts w:ascii="Arial" w:hAnsi="Arial" w:cs="Arial"/>
          <w:caps/>
        </w:rPr>
      </w:pPr>
      <w:r w:rsidRPr="00795046">
        <w:rPr>
          <w:rFonts w:ascii="Arial" w:hAnsi="Arial" w:cs="Arial"/>
        </w:rPr>
        <w:t xml:space="preserve">EMENTA: </w:t>
      </w:r>
      <w:r w:rsidR="00795046" w:rsidRPr="00795046">
        <w:rPr>
          <w:rFonts w:ascii="Arial" w:hAnsi="Arial" w:cs="Arial"/>
          <w:caps/>
        </w:rPr>
        <w:t>Compensação entre acréscimos e supressões para os fins do art. 65, § 2º, da Lei 8.666/1993. Parecer 1147/2012 pela impossibilidade jurídica da compensação. Alteração do entendimento do TCU e da PGE, possibilidade de compensação em relação aos contratos celebrados anteriormente a publicação de Portaria conjunta entre PGE e SECONT, desde que observados determinados parâmetros. Necessidade de elaboração de Portaria conjunta entre PGE e SECONT.</w:t>
      </w:r>
    </w:p>
    <w:p w:rsidR="00795046" w:rsidRPr="00795046" w:rsidRDefault="00795046" w:rsidP="00795046">
      <w:pPr>
        <w:keepNext/>
        <w:spacing w:after="0" w:line="360" w:lineRule="auto"/>
        <w:jc w:val="both"/>
        <w:rPr>
          <w:rFonts w:ascii="Arial" w:hAnsi="Arial" w:cs="Arial"/>
        </w:rPr>
      </w:pPr>
    </w:p>
    <w:p w:rsidR="00795046" w:rsidRPr="00795046" w:rsidRDefault="00795046" w:rsidP="00795046">
      <w:pPr>
        <w:pStyle w:val="PargrafodaLista"/>
        <w:keepNext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795046">
        <w:rPr>
          <w:rFonts w:ascii="Arial" w:hAnsi="Arial" w:cs="Arial"/>
        </w:rPr>
        <w:t xml:space="preserve">A Procuradoria Geral do Estado pacificou no Parecer 1147/2012 o entendimento quanto </w:t>
      </w:r>
      <w:proofErr w:type="gramStart"/>
      <w:r w:rsidRPr="00795046">
        <w:rPr>
          <w:rFonts w:ascii="Arial" w:hAnsi="Arial" w:cs="Arial"/>
        </w:rPr>
        <w:t>a</w:t>
      </w:r>
      <w:proofErr w:type="gramEnd"/>
      <w:r w:rsidRPr="00795046">
        <w:rPr>
          <w:rFonts w:ascii="Arial" w:hAnsi="Arial" w:cs="Arial"/>
        </w:rPr>
        <w:t xml:space="preserve"> impossibilidade de se compensar os acréscimos com as supressões de itens que compõem o objeto de contratos administrativos, para os fins dos limites de alteração contratual prescritos no art. 65, § 2º, da Lei 8.666/1993. </w:t>
      </w:r>
    </w:p>
    <w:p w:rsidR="00795046" w:rsidRPr="00795046" w:rsidRDefault="00795046" w:rsidP="00795046">
      <w:pPr>
        <w:pStyle w:val="PargrafodaLista"/>
        <w:keepNext/>
        <w:spacing w:after="0" w:line="360" w:lineRule="auto"/>
        <w:ind w:left="0"/>
        <w:jc w:val="both"/>
        <w:rPr>
          <w:rFonts w:ascii="Arial" w:hAnsi="Arial" w:cs="Arial"/>
        </w:rPr>
      </w:pPr>
    </w:p>
    <w:p w:rsidR="00795046" w:rsidRPr="00795046" w:rsidRDefault="00795046" w:rsidP="00795046">
      <w:pPr>
        <w:pStyle w:val="PargrafodaLista"/>
        <w:keepNext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795046">
        <w:rPr>
          <w:rFonts w:ascii="Arial" w:hAnsi="Arial" w:cs="Arial"/>
        </w:rPr>
        <w:t xml:space="preserve">A possibilidade de compensação em relação aos contratos já celebrados e em execução, no entanto, não foi enfrentada. </w:t>
      </w:r>
    </w:p>
    <w:p w:rsidR="00795046" w:rsidRPr="00795046" w:rsidRDefault="00795046" w:rsidP="00795046">
      <w:pPr>
        <w:pStyle w:val="PargrafodaLista"/>
        <w:ind w:left="0"/>
        <w:rPr>
          <w:rFonts w:ascii="Arial" w:hAnsi="Arial" w:cs="Arial"/>
        </w:rPr>
      </w:pPr>
    </w:p>
    <w:p w:rsidR="00795046" w:rsidRPr="00795046" w:rsidRDefault="00795046" w:rsidP="00795046">
      <w:pPr>
        <w:pStyle w:val="PargrafodaLista"/>
        <w:keepNext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795046">
        <w:rPr>
          <w:rFonts w:ascii="Arial" w:hAnsi="Arial" w:cs="Arial"/>
        </w:rPr>
        <w:t>Desde a vigência da Lei 8.666/1993 a compensação entre os acréscimos e supressões fora admitida pelos órgãos de controle dentre os quais o TCU e a Procuradoria Geral do Estado do Espírito Santo. O TCU superou esse entendimento e passou a vedar aludidas compensações conforme Acordão 1733/2009.</w:t>
      </w:r>
    </w:p>
    <w:p w:rsidR="00795046" w:rsidRPr="00795046" w:rsidRDefault="00795046" w:rsidP="00795046">
      <w:pPr>
        <w:pStyle w:val="PargrafodaLista"/>
        <w:keepNext/>
        <w:spacing w:after="0" w:line="360" w:lineRule="auto"/>
        <w:ind w:left="0"/>
        <w:jc w:val="both"/>
        <w:rPr>
          <w:rFonts w:ascii="Arial" w:hAnsi="Arial" w:cs="Arial"/>
        </w:rPr>
      </w:pPr>
    </w:p>
    <w:p w:rsidR="00795046" w:rsidRPr="00795046" w:rsidRDefault="00795046" w:rsidP="00795046">
      <w:pPr>
        <w:pStyle w:val="PargrafodaLista"/>
        <w:keepNext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795046">
        <w:rPr>
          <w:rFonts w:ascii="Arial" w:hAnsi="Arial" w:cs="Arial"/>
        </w:rPr>
        <w:t xml:space="preserve">Entendeu-se pela flexibilização do entendimento exarado no Parecer 1147/2012, com base nos </w:t>
      </w:r>
      <w:proofErr w:type="gramStart"/>
      <w:r w:rsidRPr="00795046">
        <w:rPr>
          <w:rFonts w:ascii="Arial" w:hAnsi="Arial" w:cs="Arial"/>
        </w:rPr>
        <w:t>seguintes fundamentos (i) precedente do TCU</w:t>
      </w:r>
      <w:proofErr w:type="gramEnd"/>
      <w:r w:rsidRPr="00795046">
        <w:rPr>
          <w:rFonts w:ascii="Arial" w:hAnsi="Arial" w:cs="Arial"/>
        </w:rPr>
        <w:t xml:space="preserve">, Acórdão 2819/2011 que possibilitou a modulação temporal de sua decisão desde que presentes (a) justificativa quanto à pertinência da compensação, (b) manutenção das características fundamentais </w:t>
      </w:r>
      <w:r w:rsidRPr="00795046">
        <w:rPr>
          <w:rFonts w:ascii="Arial" w:hAnsi="Arial" w:cs="Arial"/>
        </w:rPr>
        <w:lastRenderedPageBreak/>
        <w:t>estabelecidas no projeto básico, (c) iminente risco de paralisação de obras e ocorrência de prejuízos econômicos e sociais; (</w:t>
      </w:r>
      <w:proofErr w:type="spellStart"/>
      <w:r w:rsidRPr="00795046">
        <w:rPr>
          <w:rFonts w:ascii="Arial" w:hAnsi="Arial" w:cs="Arial"/>
        </w:rPr>
        <w:t>ii</w:t>
      </w:r>
      <w:proofErr w:type="spellEnd"/>
      <w:r w:rsidRPr="00795046">
        <w:rPr>
          <w:rFonts w:ascii="Arial" w:hAnsi="Arial" w:cs="Arial"/>
        </w:rPr>
        <w:t>) possibilidade de modulação dos efeitos da decisão que altera jurisprudência consolidada conforme previsão da Lei 9.784/1999 que veda a aplicação retroativa de nova interpretação consoante art. 2º, XIII; (</w:t>
      </w:r>
      <w:proofErr w:type="spellStart"/>
      <w:r w:rsidRPr="00795046">
        <w:rPr>
          <w:rFonts w:ascii="Arial" w:hAnsi="Arial" w:cs="Arial"/>
        </w:rPr>
        <w:t>iii</w:t>
      </w:r>
      <w:proofErr w:type="spellEnd"/>
      <w:r w:rsidRPr="00795046">
        <w:rPr>
          <w:rFonts w:ascii="Arial" w:hAnsi="Arial" w:cs="Arial"/>
        </w:rPr>
        <w:t>) violação ao princípio da segurança jurídica.</w:t>
      </w:r>
    </w:p>
    <w:p w:rsidR="00795046" w:rsidRPr="00795046" w:rsidRDefault="00795046" w:rsidP="00795046">
      <w:pPr>
        <w:pStyle w:val="PargrafodaLista"/>
        <w:ind w:left="0"/>
        <w:rPr>
          <w:rFonts w:ascii="Arial" w:hAnsi="Arial" w:cs="Arial"/>
        </w:rPr>
      </w:pPr>
    </w:p>
    <w:p w:rsidR="00795046" w:rsidRPr="00795046" w:rsidRDefault="00795046" w:rsidP="00795046">
      <w:pPr>
        <w:pStyle w:val="PargrafodaLista"/>
        <w:keepNext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795046">
        <w:rPr>
          <w:rFonts w:ascii="Arial" w:hAnsi="Arial" w:cs="Arial"/>
        </w:rPr>
        <w:t>Por fim, suscitou-se que a Decisão 215/1999 do TCU já previu a possibilidade de acréscimos acima dos limites legais.</w:t>
      </w:r>
    </w:p>
    <w:p w:rsidR="00795046" w:rsidRPr="00795046" w:rsidRDefault="00795046" w:rsidP="00795046">
      <w:pPr>
        <w:pStyle w:val="PargrafodaLista"/>
        <w:keepNext/>
        <w:spacing w:after="0" w:line="360" w:lineRule="auto"/>
        <w:ind w:left="0"/>
        <w:jc w:val="both"/>
        <w:rPr>
          <w:rFonts w:ascii="Arial" w:hAnsi="Arial" w:cs="Arial"/>
        </w:rPr>
      </w:pPr>
    </w:p>
    <w:p w:rsidR="00795046" w:rsidRPr="00795046" w:rsidRDefault="00795046" w:rsidP="00795046">
      <w:pPr>
        <w:pStyle w:val="PargrafodaLista"/>
        <w:keepNext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Arial" w:hAnsi="Arial" w:cs="Arial"/>
        </w:rPr>
      </w:pPr>
      <w:r w:rsidRPr="00795046">
        <w:rPr>
          <w:rFonts w:ascii="Arial" w:hAnsi="Arial" w:cs="Arial"/>
        </w:rPr>
        <w:t>Concluiu-se pela necessidade de emissão de Portaria conjunta entre PGE e SECONT para orientar os órgãos e entidades estaduais.</w:t>
      </w:r>
    </w:p>
    <w:p w:rsidR="00054AB1" w:rsidRDefault="00054AB1" w:rsidP="00795046">
      <w:pPr>
        <w:pStyle w:val="Cabealho"/>
        <w:spacing w:after="120" w:line="360" w:lineRule="auto"/>
        <w:rPr>
          <w:rFonts w:ascii="Verdana"/>
          <w:b/>
          <w:caps/>
          <w:szCs w:val="24"/>
        </w:rPr>
      </w:pPr>
    </w:p>
    <w:p w:rsidR="00795046" w:rsidRDefault="00795046">
      <w:pPr>
        <w:pStyle w:val="Cabealho"/>
        <w:spacing w:after="120" w:line="360" w:lineRule="auto"/>
        <w:ind w:left="3402"/>
        <w:rPr>
          <w:rFonts w:ascii="Verdana"/>
          <w:b/>
          <w:caps/>
          <w:szCs w:val="24"/>
        </w:rPr>
      </w:pPr>
    </w:p>
    <w:p w:rsidR="00054AB1" w:rsidRDefault="00054AB1">
      <w:pPr>
        <w:pStyle w:val="DefaultStyle"/>
        <w:spacing w:line="360" w:lineRule="auto"/>
        <w:jc w:val="both"/>
        <w:rPr>
          <w:szCs w:val="24"/>
        </w:rPr>
      </w:pPr>
      <w:r>
        <w:rPr>
          <w:rFonts w:ascii="Verdana"/>
          <w:szCs w:val="24"/>
        </w:rPr>
        <w:t xml:space="preserve">O </w:t>
      </w:r>
      <w:r>
        <w:rPr>
          <w:rFonts w:ascii="Verdana"/>
          <w:b/>
          <w:szCs w:val="24"/>
        </w:rPr>
        <w:t>CONSELHO DA PROCURADORIA GERAL DO ESTADO</w:t>
      </w:r>
      <w:r>
        <w:rPr>
          <w:rFonts w:ascii="Verdana"/>
          <w:szCs w:val="24"/>
        </w:rPr>
        <w:t>, em reuni</w:t>
      </w:r>
      <w:r>
        <w:rPr>
          <w:rFonts w:ascii="Verdana"/>
          <w:szCs w:val="24"/>
        </w:rPr>
        <w:t>ã</w:t>
      </w:r>
      <w:r>
        <w:rPr>
          <w:rFonts w:ascii="Verdana"/>
          <w:szCs w:val="24"/>
        </w:rPr>
        <w:t xml:space="preserve">o realizada em </w:t>
      </w:r>
      <w:r w:rsidR="00795046">
        <w:rPr>
          <w:rFonts w:ascii="Verdana"/>
          <w:szCs w:val="24"/>
        </w:rPr>
        <w:t>02</w:t>
      </w:r>
      <w:r>
        <w:rPr>
          <w:rFonts w:ascii="Verdana"/>
          <w:szCs w:val="24"/>
        </w:rPr>
        <w:t>/0</w:t>
      </w:r>
      <w:r w:rsidR="00795046">
        <w:rPr>
          <w:rFonts w:ascii="Verdana"/>
          <w:szCs w:val="24"/>
        </w:rPr>
        <w:t>9</w:t>
      </w:r>
      <w:r>
        <w:rPr>
          <w:rFonts w:ascii="Verdana"/>
          <w:szCs w:val="24"/>
        </w:rPr>
        <w:t>/2013, deliberou, po</w:t>
      </w:r>
      <w:r w:rsidR="00FA4C56">
        <w:rPr>
          <w:rFonts w:ascii="Verdana"/>
          <w:szCs w:val="24"/>
        </w:rPr>
        <w:t>r unanimidade, aprovar o Voto da</w:t>
      </w:r>
      <w:r>
        <w:rPr>
          <w:rFonts w:ascii="Verdana"/>
          <w:szCs w:val="24"/>
        </w:rPr>
        <w:t xml:space="preserve"> Conselheir</w:t>
      </w:r>
      <w:r w:rsidR="00FA4C56">
        <w:rPr>
          <w:rFonts w:ascii="Verdana"/>
          <w:szCs w:val="24"/>
        </w:rPr>
        <w:t>a</w:t>
      </w:r>
      <w:r>
        <w:rPr>
          <w:rFonts w:ascii="Verdana"/>
          <w:szCs w:val="24"/>
        </w:rPr>
        <w:t xml:space="preserve"> Relator</w:t>
      </w:r>
      <w:r w:rsidR="00FA4C56">
        <w:rPr>
          <w:rFonts w:ascii="Verdana"/>
          <w:szCs w:val="24"/>
        </w:rPr>
        <w:t>a</w:t>
      </w:r>
      <w:r>
        <w:rPr>
          <w:rFonts w:ascii="Verdana"/>
          <w:szCs w:val="24"/>
        </w:rPr>
        <w:t>, Dr</w:t>
      </w:r>
      <w:r w:rsidR="00795046">
        <w:rPr>
          <w:rFonts w:ascii="Verdana"/>
          <w:szCs w:val="24"/>
        </w:rPr>
        <w:t>a</w:t>
      </w:r>
      <w:r>
        <w:rPr>
          <w:rFonts w:ascii="Verdana"/>
          <w:szCs w:val="24"/>
        </w:rPr>
        <w:t xml:space="preserve">. </w:t>
      </w:r>
      <w:r w:rsidR="00795046">
        <w:rPr>
          <w:rFonts w:ascii="Verdana"/>
          <w:szCs w:val="24"/>
        </w:rPr>
        <w:t>Luciana Mer</w:t>
      </w:r>
      <w:r w:rsidR="00795046">
        <w:rPr>
          <w:rFonts w:ascii="Verdana"/>
          <w:szCs w:val="24"/>
        </w:rPr>
        <w:t>ç</w:t>
      </w:r>
      <w:r w:rsidR="00795046">
        <w:rPr>
          <w:rFonts w:ascii="Verdana"/>
          <w:szCs w:val="24"/>
        </w:rPr>
        <w:t>on Vieira</w:t>
      </w:r>
      <w:r>
        <w:rPr>
          <w:rFonts w:ascii="Verdana"/>
          <w:szCs w:val="24"/>
        </w:rPr>
        <w:t>, nos autos do processo administrativo n</w:t>
      </w:r>
      <w:r>
        <w:rPr>
          <w:rFonts w:ascii="Verdana"/>
          <w:szCs w:val="24"/>
        </w:rPr>
        <w:t>º</w:t>
      </w:r>
      <w:r>
        <w:rPr>
          <w:rFonts w:ascii="Verdana"/>
          <w:szCs w:val="24"/>
        </w:rPr>
        <w:t xml:space="preserve"> </w:t>
      </w:r>
      <w:r w:rsidR="00795046">
        <w:rPr>
          <w:rFonts w:ascii="Verdana"/>
          <w:szCs w:val="24"/>
        </w:rPr>
        <w:t>62796208.</w:t>
      </w:r>
    </w:p>
    <w:p w:rsidR="00054AB1" w:rsidRDefault="00054AB1">
      <w:pPr>
        <w:pStyle w:val="DefaultStyle"/>
        <w:spacing w:line="360" w:lineRule="auto"/>
        <w:jc w:val="both"/>
        <w:rPr>
          <w:szCs w:val="24"/>
        </w:rPr>
      </w:pPr>
      <w:r>
        <w:rPr>
          <w:rFonts w:ascii="Verdana"/>
          <w:szCs w:val="24"/>
        </w:rPr>
        <w:t xml:space="preserve"> </w:t>
      </w:r>
    </w:p>
    <w:p w:rsidR="00054AB1" w:rsidRDefault="00054AB1">
      <w:pPr>
        <w:pStyle w:val="DefaultStyle"/>
        <w:spacing w:line="360" w:lineRule="auto"/>
        <w:jc w:val="both"/>
        <w:rPr>
          <w:szCs w:val="24"/>
        </w:rPr>
      </w:pPr>
      <w:r>
        <w:rPr>
          <w:rFonts w:ascii="Verdana"/>
          <w:szCs w:val="24"/>
        </w:rPr>
        <w:t>Vit</w:t>
      </w:r>
      <w:r>
        <w:rPr>
          <w:rFonts w:ascii="Verdana"/>
          <w:szCs w:val="24"/>
        </w:rPr>
        <w:t>ó</w:t>
      </w:r>
      <w:r>
        <w:rPr>
          <w:rFonts w:ascii="Verdana"/>
          <w:szCs w:val="24"/>
        </w:rPr>
        <w:t xml:space="preserve">ria, </w:t>
      </w:r>
      <w:r w:rsidR="00795046">
        <w:rPr>
          <w:rFonts w:ascii="Verdana"/>
          <w:szCs w:val="24"/>
        </w:rPr>
        <w:t>05</w:t>
      </w:r>
      <w:r>
        <w:rPr>
          <w:rFonts w:ascii="Verdana"/>
          <w:szCs w:val="24"/>
        </w:rPr>
        <w:t xml:space="preserve"> de </w:t>
      </w:r>
      <w:r w:rsidR="00795046">
        <w:rPr>
          <w:rFonts w:ascii="Verdana"/>
          <w:szCs w:val="24"/>
        </w:rPr>
        <w:t>setembro</w:t>
      </w:r>
      <w:r>
        <w:rPr>
          <w:rFonts w:ascii="Verdana"/>
          <w:szCs w:val="24"/>
        </w:rPr>
        <w:t xml:space="preserve"> de 2013.</w:t>
      </w:r>
    </w:p>
    <w:p w:rsidR="00054AB1" w:rsidRDefault="00054AB1">
      <w:pPr>
        <w:pStyle w:val="DefaultStyle"/>
        <w:spacing w:before="240" w:after="240"/>
        <w:jc w:val="both"/>
        <w:rPr>
          <w:rFonts w:ascii="Verdana"/>
          <w:szCs w:val="24"/>
        </w:rPr>
      </w:pPr>
    </w:p>
    <w:p w:rsidR="00FA4C56" w:rsidRDefault="00FA4C56">
      <w:pPr>
        <w:pStyle w:val="DefaultStyle"/>
        <w:spacing w:before="240" w:after="240"/>
        <w:jc w:val="both"/>
        <w:rPr>
          <w:rFonts w:ascii="Verdana"/>
          <w:szCs w:val="24"/>
        </w:rPr>
      </w:pPr>
    </w:p>
    <w:p w:rsidR="00054AB1" w:rsidRDefault="00054AB1">
      <w:pPr>
        <w:pStyle w:val="DefaultStyle"/>
        <w:jc w:val="center"/>
        <w:rPr>
          <w:szCs w:val="24"/>
        </w:rPr>
      </w:pPr>
      <w:r>
        <w:rPr>
          <w:rFonts w:ascii="Verdana"/>
          <w:b/>
          <w:szCs w:val="24"/>
        </w:rPr>
        <w:t>RODRIGO MARQUES DE ABREU J</w:t>
      </w:r>
      <w:r>
        <w:rPr>
          <w:rFonts w:ascii="Verdana"/>
          <w:b/>
          <w:szCs w:val="24"/>
        </w:rPr>
        <w:t>Ú</w:t>
      </w:r>
      <w:r>
        <w:rPr>
          <w:rFonts w:ascii="Verdana"/>
          <w:b/>
          <w:szCs w:val="24"/>
        </w:rPr>
        <w:t>DICE</w:t>
      </w:r>
    </w:p>
    <w:p w:rsidR="00054AB1" w:rsidRDefault="00054AB1">
      <w:pPr>
        <w:pStyle w:val="DefaultStyle"/>
        <w:jc w:val="center"/>
        <w:rPr>
          <w:szCs w:val="24"/>
        </w:rPr>
      </w:pPr>
      <w:r>
        <w:rPr>
          <w:rFonts w:ascii="Verdana"/>
          <w:b/>
          <w:szCs w:val="24"/>
        </w:rPr>
        <w:t>Presidente do Conselho da PGE</w:t>
      </w:r>
    </w:p>
    <w:p w:rsidR="00054AB1" w:rsidRDefault="00054AB1">
      <w:pPr>
        <w:pStyle w:val="DefaultStyle"/>
        <w:jc w:val="center"/>
        <w:rPr>
          <w:rFonts w:ascii="Verdana"/>
          <w:b/>
          <w:szCs w:val="24"/>
        </w:rPr>
      </w:pPr>
    </w:p>
    <w:p w:rsidR="00054AB1" w:rsidRDefault="00054AB1">
      <w:pPr>
        <w:pStyle w:val="DefaultStyle"/>
        <w:jc w:val="center"/>
        <w:rPr>
          <w:rFonts w:ascii="Verdana"/>
          <w:b/>
          <w:szCs w:val="24"/>
        </w:rPr>
      </w:pPr>
    </w:p>
    <w:p w:rsidR="00054AB1" w:rsidRDefault="00054AB1">
      <w:pPr>
        <w:pStyle w:val="DefaultStyle"/>
        <w:jc w:val="center"/>
        <w:rPr>
          <w:rFonts w:ascii="Verdana"/>
          <w:b/>
          <w:szCs w:val="24"/>
        </w:rPr>
      </w:pPr>
    </w:p>
    <w:p w:rsidR="00054AB1" w:rsidRDefault="00054AB1">
      <w:pPr>
        <w:pStyle w:val="DefaultStyle"/>
        <w:jc w:val="center"/>
        <w:rPr>
          <w:rFonts w:ascii="Verdana"/>
          <w:b/>
          <w:szCs w:val="24"/>
        </w:rPr>
      </w:pPr>
    </w:p>
    <w:p w:rsidR="00054AB1" w:rsidRDefault="00054AB1">
      <w:pPr>
        <w:pStyle w:val="DefaultStyle"/>
        <w:jc w:val="center"/>
        <w:rPr>
          <w:rFonts w:ascii="Verdana"/>
          <w:b/>
          <w:szCs w:val="24"/>
        </w:rPr>
      </w:pPr>
    </w:p>
    <w:sectPr w:rsidR="00054AB1">
      <w:headerReference w:type="default" r:id="rId8"/>
      <w:footerReference w:type="default" r:id="rId9"/>
      <w:type w:val="continuous"/>
      <w:pgSz w:w="11906" w:h="16838"/>
      <w:pgMar w:top="797" w:right="1134" w:bottom="1134" w:left="1701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40" w:rsidRDefault="00583740">
      <w:pPr>
        <w:spacing w:after="0" w:line="240" w:lineRule="auto"/>
      </w:pPr>
      <w:r>
        <w:separator/>
      </w:r>
    </w:p>
  </w:endnote>
  <w:endnote w:type="continuationSeparator" w:id="0">
    <w:p w:rsidR="00583740" w:rsidRDefault="0058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B1" w:rsidRDefault="00054AB1">
    <w:pPr>
      <w:pStyle w:val="Rodap"/>
      <w:tabs>
        <w:tab w:val="left" w:pos="2385"/>
        <w:tab w:val="center" w:pos="4536"/>
      </w:tabs>
      <w:jc w:val="center"/>
      <w:rPr>
        <w:szCs w:val="24"/>
      </w:rPr>
    </w:pPr>
    <w:r>
      <w:rPr>
        <w:b/>
        <w:szCs w:val="24"/>
      </w:rPr>
      <w:t>Conselho da Procuradoria Geral do Estado do Espírito Santo</w:t>
    </w:r>
  </w:p>
  <w:p w:rsidR="00054AB1" w:rsidRDefault="00054AB1">
    <w:pPr>
      <w:pStyle w:val="Rodap"/>
      <w:jc w:val="center"/>
      <w:rPr>
        <w:szCs w:val="24"/>
      </w:rPr>
    </w:pPr>
    <w:r>
      <w:rPr>
        <w:szCs w:val="24"/>
      </w:rPr>
      <w:t xml:space="preserve">Av. Nossa Senhora da Penha, 1590 – 13º andar – Barro Vermelho – Vitória – ES – </w:t>
    </w:r>
    <w:proofErr w:type="spellStart"/>
    <w:proofErr w:type="gramStart"/>
    <w:r>
      <w:rPr>
        <w:szCs w:val="24"/>
      </w:rPr>
      <w:t>Cep</w:t>
    </w:r>
    <w:proofErr w:type="spellEnd"/>
    <w:proofErr w:type="gramEnd"/>
    <w:r>
      <w:rPr>
        <w:szCs w:val="24"/>
      </w:rPr>
      <w:t>: 29057-550</w:t>
    </w:r>
  </w:p>
  <w:p w:rsidR="00054AB1" w:rsidRDefault="00054AB1">
    <w:pPr>
      <w:pStyle w:val="Rodap"/>
      <w:jc w:val="center"/>
      <w:rPr>
        <w:szCs w:val="24"/>
      </w:rPr>
    </w:pPr>
    <w:r>
      <w:rPr>
        <w:szCs w:val="24"/>
      </w:rPr>
      <w:t>Fones: 3636.5050 – 3636.5091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40" w:rsidRDefault="00583740">
      <w:pPr>
        <w:spacing w:after="0" w:line="240" w:lineRule="auto"/>
      </w:pPr>
      <w:r>
        <w:separator/>
      </w:r>
    </w:p>
  </w:footnote>
  <w:footnote w:type="continuationSeparator" w:id="0">
    <w:p w:rsidR="00583740" w:rsidRDefault="00583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B1" w:rsidRDefault="00583740">
    <w:pPr>
      <w:pStyle w:val="Cabealho"/>
      <w:jc w:val="center"/>
    </w:pPr>
    <w:r>
      <w:rPr>
        <w:noProof/>
        <w:sz w:val="22"/>
        <w:szCs w:val="22"/>
      </w:rPr>
      <w:drawing>
        <wp:inline distT="0" distB="0" distL="0" distR="0" wp14:anchorId="66D8B9E6" wp14:editId="2360A02C">
          <wp:extent cx="832485" cy="791845"/>
          <wp:effectExtent l="0" t="0" r="5715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AB1" w:rsidRDefault="00054AB1">
    <w:pPr>
      <w:pStyle w:val="Cabealho"/>
      <w:jc w:val="center"/>
      <w:rPr>
        <w:szCs w:val="24"/>
      </w:rPr>
    </w:pPr>
    <w:r>
      <w:rPr>
        <w:b/>
        <w:sz w:val="24"/>
        <w:szCs w:val="24"/>
      </w:rPr>
      <w:t>GOVERNO DO ESTADO DO ESPÍRITO SANTO</w:t>
    </w:r>
  </w:p>
  <w:p w:rsidR="00054AB1" w:rsidRDefault="00054AB1">
    <w:pPr>
      <w:pStyle w:val="Cabealho"/>
      <w:pBdr>
        <w:bottom w:val="single" w:sz="12" w:space="1" w:color="000000"/>
      </w:pBdr>
      <w:jc w:val="center"/>
      <w:rPr>
        <w:szCs w:val="24"/>
      </w:rPr>
    </w:pPr>
    <w:r>
      <w:rPr>
        <w:b/>
        <w:sz w:val="24"/>
        <w:szCs w:val="24"/>
      </w:rPr>
      <w:t>CONSELHO DA PROCURADORIA GERAL DO ESTADO</w:t>
    </w:r>
  </w:p>
  <w:p w:rsidR="00054AB1" w:rsidRDefault="00054AB1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2C7F3479"/>
    <w:multiLevelType w:val="hybridMultilevel"/>
    <w:tmpl w:val="CB4A712C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40"/>
    <w:rsid w:val="00054AB1"/>
    <w:rsid w:val="0023704C"/>
    <w:rsid w:val="00296EDC"/>
    <w:rsid w:val="00580E20"/>
    <w:rsid w:val="00583740"/>
    <w:rsid w:val="006B2A53"/>
    <w:rsid w:val="007606D5"/>
    <w:rsid w:val="00795046"/>
    <w:rsid w:val="00F328AC"/>
    <w:rsid w:val="00F67E91"/>
    <w:rsid w:val="00FA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DefaultStyle"/>
    <w:next w:val="DefaultStyle"/>
    <w:link w:val="Ttulo1Char"/>
    <w:uiPriority w:val="99"/>
    <w:qFormat/>
    <w:pPr>
      <w:keepNext/>
      <w:jc w:val="both"/>
      <w:outlineLvl w:val="0"/>
    </w:pPr>
    <w:rPr>
      <w:rFonts w:ascii="Arial" w:cs="Arial"/>
      <w:sz w:val="28"/>
      <w:szCs w:val="28"/>
      <w:lang w:eastAsia="pt-BR"/>
    </w:rPr>
  </w:style>
  <w:style w:type="paragraph" w:styleId="Ttulo2">
    <w:name w:val="heading 2"/>
    <w:basedOn w:val="DefaultStyle"/>
    <w:next w:val="DefaultStyle"/>
    <w:link w:val="Ttulo2Char"/>
    <w:uiPriority w:val="99"/>
    <w:qFormat/>
    <w:pPr>
      <w:keepNext/>
      <w:numPr>
        <w:ilvl w:val="1"/>
      </w:numPr>
      <w:jc w:val="center"/>
      <w:outlineLvl w:val="1"/>
    </w:pPr>
    <w:rPr>
      <w:rFonts w:asci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Style">
    <w:name w:val="Default Style"/>
    <w:pPr>
      <w:autoSpaceDE w:val="0"/>
      <w:autoSpaceDN w:val="0"/>
      <w:adjustRightInd w:val="0"/>
    </w:pPr>
    <w:rPr>
      <w:rFonts w:ascii="Times New Roman" w:hAnsi="Times New Roman"/>
      <w:lang w:eastAsia="zh-CN"/>
    </w:rPr>
  </w:style>
  <w:style w:type="character" w:customStyle="1" w:styleId="WW8Num3z0">
    <w:name w:val="WW8Num3z0"/>
    <w:uiPriority w:val="99"/>
    <w:rPr>
      <w:rFonts w:eastAsia="Times New Roman"/>
    </w:rPr>
  </w:style>
  <w:style w:type="character" w:customStyle="1" w:styleId="WW8Num5z0">
    <w:name w:val="WW8Num5z0"/>
    <w:uiPriority w:val="99"/>
    <w:rPr>
      <w:rFonts w:ascii="Symbol" w:eastAsia="Times New Roman"/>
    </w:rPr>
  </w:style>
  <w:style w:type="character" w:customStyle="1" w:styleId="WW8Num5z1">
    <w:name w:val="WW8Num5z1"/>
    <w:uiPriority w:val="99"/>
    <w:rPr>
      <w:rFonts w:ascii="Courier New" w:eastAsia="Times New Roman"/>
    </w:rPr>
  </w:style>
  <w:style w:type="character" w:customStyle="1" w:styleId="WW8Num5z2">
    <w:name w:val="WW8Num5z2"/>
    <w:uiPriority w:val="99"/>
    <w:rPr>
      <w:rFonts w:ascii="Wingdings" w:eastAsia="Times New Roman"/>
    </w:rPr>
  </w:style>
  <w:style w:type="character" w:customStyle="1" w:styleId="WW8Num5z3">
    <w:name w:val="WW8Num5z3"/>
    <w:uiPriority w:val="99"/>
    <w:rPr>
      <w:rFonts w:ascii="Symbol" w:eastAsia="Times New Roman"/>
    </w:rPr>
  </w:style>
  <w:style w:type="character" w:customStyle="1" w:styleId="Fontepare1gpadre3o">
    <w:name w:val="Fonte paráe1g. padrãe3o"/>
    <w:uiPriority w:val="99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FootnoteCharacters">
    <w:name w:val="Footnote Characters"/>
    <w:uiPriority w:val="99"/>
    <w:rPr>
      <w:vertAlign w:val="superscript"/>
    </w:rPr>
  </w:style>
  <w:style w:type="character" w:customStyle="1" w:styleId="StrongEmphasis">
    <w:name w:val="Strong Emphasis"/>
    <w:uiPriority w:val="99"/>
    <w:rPr>
      <w:b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Rodape9Char">
    <w:name w:val="Rodapée9 Char"/>
    <w:uiPriority w:val="99"/>
    <w:rPr>
      <w:rFonts w:cs="Times New Roman"/>
    </w:rPr>
  </w:style>
  <w:style w:type="character" w:customStyle="1" w:styleId="Corpodetexto2Char">
    <w:name w:val="Corpo de texto 2 Char"/>
    <w:uiPriority w:val="99"/>
    <w:rPr>
      <w:rFonts w:ascii="Bookman Old Style" w:eastAsia="Times New Roman"/>
      <w:b/>
      <w:sz w:val="28"/>
    </w:rPr>
  </w:style>
  <w:style w:type="character" w:customStyle="1" w:styleId="Cabee7alhoChar">
    <w:name w:val="Cabeçe7alho Char"/>
    <w:uiPriority w:val="99"/>
    <w:rPr>
      <w:rFonts w:cs="Times New Roman"/>
    </w:rPr>
  </w:style>
  <w:style w:type="character" w:customStyle="1" w:styleId="FootnoteAnchor">
    <w:name w:val="Footnote Anchor"/>
    <w:uiPriority w:val="99"/>
    <w:rPr>
      <w:vertAlign w:val="superscript"/>
    </w:rPr>
  </w:style>
  <w:style w:type="character" w:customStyle="1" w:styleId="EndnoteAnchor">
    <w:name w:val="Endnote Anchor"/>
    <w:uiPriority w:val="99"/>
    <w:rPr>
      <w:vertAlign w:val="superscript"/>
    </w:rPr>
  </w:style>
  <w:style w:type="character" w:customStyle="1" w:styleId="EndnoteCharacters">
    <w:name w:val="Endnote Characters"/>
    <w:uiPriority w:val="99"/>
  </w:style>
  <w:style w:type="paragraph" w:customStyle="1" w:styleId="Heading">
    <w:name w:val="Heading"/>
    <w:basedOn w:val="DefaultStyle"/>
    <w:next w:val="TextBody"/>
    <w:uiPriority w:val="99"/>
    <w:pPr>
      <w:keepNext/>
      <w:spacing w:before="240" w:after="120"/>
    </w:pPr>
    <w:rPr>
      <w:rFonts w:ascii="Arial" w:cs="Arial"/>
      <w:sz w:val="28"/>
      <w:szCs w:val="28"/>
      <w:lang w:eastAsia="pt-BR"/>
    </w:rPr>
  </w:style>
  <w:style w:type="paragraph" w:customStyle="1" w:styleId="TextBody">
    <w:name w:val="Text Body"/>
    <w:basedOn w:val="DefaultStyle"/>
    <w:uiPriority w:val="99"/>
    <w:pPr>
      <w:spacing w:after="120"/>
    </w:pPr>
    <w:rPr>
      <w:lang w:eastAsia="pt-BR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DefaultStyle"/>
    <w:uiPriority w:val="99"/>
    <w:qFormat/>
    <w:pPr>
      <w:suppressLineNumbers/>
      <w:spacing w:before="120" w:after="120"/>
    </w:pPr>
    <w:rPr>
      <w:i/>
      <w:iCs/>
      <w:sz w:val="24"/>
      <w:szCs w:val="24"/>
      <w:lang w:eastAsia="pt-BR"/>
    </w:rPr>
  </w:style>
  <w:style w:type="paragraph" w:customStyle="1" w:styleId="Index">
    <w:name w:val="Index"/>
    <w:basedOn w:val="DefaultStyle"/>
    <w:uiPriority w:val="99"/>
    <w:pPr>
      <w:suppressLineNumbers/>
    </w:pPr>
    <w:rPr>
      <w:lang w:eastAsia="pt-BR"/>
    </w:rPr>
  </w:style>
  <w:style w:type="paragraph" w:styleId="Cabealho">
    <w:name w:val="header"/>
    <w:basedOn w:val="DefaultStyle"/>
    <w:link w:val="CabealhoChar"/>
    <w:uiPriority w:val="99"/>
    <w:pPr>
      <w:tabs>
        <w:tab w:val="center" w:pos="4419"/>
        <w:tab w:val="right" w:pos="8838"/>
      </w:tabs>
    </w:pPr>
    <w:rPr>
      <w:lang w:eastAsia="pt-BR"/>
    </w:r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DefaultStyle"/>
    <w:link w:val="RodapChar"/>
    <w:uiPriority w:val="99"/>
    <w:pPr>
      <w:tabs>
        <w:tab w:val="center" w:pos="4419"/>
        <w:tab w:val="right" w:pos="8838"/>
      </w:tabs>
    </w:pPr>
    <w:rPr>
      <w:lang w:eastAsia="pt-BR"/>
    </w:rPr>
  </w:style>
  <w:style w:type="character" w:customStyle="1" w:styleId="RodapChar">
    <w:name w:val="Rodapé Char"/>
    <w:link w:val="Rodap"/>
    <w:uiPriority w:val="99"/>
    <w:semiHidden/>
    <w:locked/>
    <w:rPr>
      <w:rFonts w:cs="Times New Roman"/>
    </w:rPr>
  </w:style>
  <w:style w:type="paragraph" w:customStyle="1" w:styleId="AutoCorree7e3o">
    <w:name w:val="AutoCorreçe7ãe3o"/>
    <w:uiPriority w:val="9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/>
    </w:rPr>
  </w:style>
  <w:style w:type="paragraph" w:customStyle="1" w:styleId="Footnote">
    <w:name w:val="Footnote"/>
    <w:basedOn w:val="DefaultStyle"/>
    <w:uiPriority w:val="99"/>
    <w:rPr>
      <w:lang w:eastAsia="pt-BR"/>
    </w:rPr>
  </w:style>
  <w:style w:type="paragraph" w:customStyle="1" w:styleId="Textodebale3o">
    <w:name w:val="Texto de balãe3o"/>
    <w:basedOn w:val="DefaultStyle"/>
    <w:uiPriority w:val="99"/>
    <w:rPr>
      <w:rFonts w:ascii="Tahoma" w:cs="Tahoma"/>
      <w:sz w:val="16"/>
      <w:szCs w:val="16"/>
      <w:lang w:eastAsia="pt-BR"/>
    </w:rPr>
  </w:style>
  <w:style w:type="paragraph" w:styleId="Corpodetexto2">
    <w:name w:val="Body Text 2"/>
    <w:basedOn w:val="DefaultStyle"/>
    <w:link w:val="Corpodetexto2Char1"/>
    <w:uiPriority w:val="99"/>
    <w:pPr>
      <w:jc w:val="both"/>
    </w:pPr>
    <w:rPr>
      <w:rFonts w:ascii="Bookman Old Style" w:cs="Bookman Old Style"/>
      <w:b/>
      <w:bCs/>
      <w:sz w:val="28"/>
      <w:szCs w:val="28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locked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0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5046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DefaultStyle"/>
    <w:next w:val="DefaultStyle"/>
    <w:link w:val="Ttulo1Char"/>
    <w:uiPriority w:val="99"/>
    <w:qFormat/>
    <w:pPr>
      <w:keepNext/>
      <w:jc w:val="both"/>
      <w:outlineLvl w:val="0"/>
    </w:pPr>
    <w:rPr>
      <w:rFonts w:ascii="Arial" w:cs="Arial"/>
      <w:sz w:val="28"/>
      <w:szCs w:val="28"/>
      <w:lang w:eastAsia="pt-BR"/>
    </w:rPr>
  </w:style>
  <w:style w:type="paragraph" w:styleId="Ttulo2">
    <w:name w:val="heading 2"/>
    <w:basedOn w:val="DefaultStyle"/>
    <w:next w:val="DefaultStyle"/>
    <w:link w:val="Ttulo2Char"/>
    <w:uiPriority w:val="99"/>
    <w:qFormat/>
    <w:pPr>
      <w:keepNext/>
      <w:numPr>
        <w:ilvl w:val="1"/>
      </w:numPr>
      <w:jc w:val="center"/>
      <w:outlineLvl w:val="1"/>
    </w:pPr>
    <w:rPr>
      <w:rFonts w:asci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Style">
    <w:name w:val="Default Style"/>
    <w:pPr>
      <w:autoSpaceDE w:val="0"/>
      <w:autoSpaceDN w:val="0"/>
      <w:adjustRightInd w:val="0"/>
    </w:pPr>
    <w:rPr>
      <w:rFonts w:ascii="Times New Roman" w:hAnsi="Times New Roman"/>
      <w:lang w:eastAsia="zh-CN"/>
    </w:rPr>
  </w:style>
  <w:style w:type="character" w:customStyle="1" w:styleId="WW8Num3z0">
    <w:name w:val="WW8Num3z0"/>
    <w:uiPriority w:val="99"/>
    <w:rPr>
      <w:rFonts w:eastAsia="Times New Roman"/>
    </w:rPr>
  </w:style>
  <w:style w:type="character" w:customStyle="1" w:styleId="WW8Num5z0">
    <w:name w:val="WW8Num5z0"/>
    <w:uiPriority w:val="99"/>
    <w:rPr>
      <w:rFonts w:ascii="Symbol" w:eastAsia="Times New Roman"/>
    </w:rPr>
  </w:style>
  <w:style w:type="character" w:customStyle="1" w:styleId="WW8Num5z1">
    <w:name w:val="WW8Num5z1"/>
    <w:uiPriority w:val="99"/>
    <w:rPr>
      <w:rFonts w:ascii="Courier New" w:eastAsia="Times New Roman"/>
    </w:rPr>
  </w:style>
  <w:style w:type="character" w:customStyle="1" w:styleId="WW8Num5z2">
    <w:name w:val="WW8Num5z2"/>
    <w:uiPriority w:val="99"/>
    <w:rPr>
      <w:rFonts w:ascii="Wingdings" w:eastAsia="Times New Roman"/>
    </w:rPr>
  </w:style>
  <w:style w:type="character" w:customStyle="1" w:styleId="WW8Num5z3">
    <w:name w:val="WW8Num5z3"/>
    <w:uiPriority w:val="99"/>
    <w:rPr>
      <w:rFonts w:ascii="Symbol" w:eastAsia="Times New Roman"/>
    </w:rPr>
  </w:style>
  <w:style w:type="character" w:customStyle="1" w:styleId="Fontepare1gpadre3o">
    <w:name w:val="Fonte paráe1g. padrãe3o"/>
    <w:uiPriority w:val="99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customStyle="1" w:styleId="FootnoteCharacters">
    <w:name w:val="Footnote Characters"/>
    <w:uiPriority w:val="99"/>
    <w:rPr>
      <w:vertAlign w:val="superscript"/>
    </w:rPr>
  </w:style>
  <w:style w:type="character" w:customStyle="1" w:styleId="StrongEmphasis">
    <w:name w:val="Strong Emphasis"/>
    <w:uiPriority w:val="99"/>
    <w:rPr>
      <w:b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Rodape9Char">
    <w:name w:val="Rodapée9 Char"/>
    <w:uiPriority w:val="99"/>
    <w:rPr>
      <w:rFonts w:cs="Times New Roman"/>
    </w:rPr>
  </w:style>
  <w:style w:type="character" w:customStyle="1" w:styleId="Corpodetexto2Char">
    <w:name w:val="Corpo de texto 2 Char"/>
    <w:uiPriority w:val="99"/>
    <w:rPr>
      <w:rFonts w:ascii="Bookman Old Style" w:eastAsia="Times New Roman"/>
      <w:b/>
      <w:sz w:val="28"/>
    </w:rPr>
  </w:style>
  <w:style w:type="character" w:customStyle="1" w:styleId="Cabee7alhoChar">
    <w:name w:val="Cabeçe7alho Char"/>
    <w:uiPriority w:val="99"/>
    <w:rPr>
      <w:rFonts w:cs="Times New Roman"/>
    </w:rPr>
  </w:style>
  <w:style w:type="character" w:customStyle="1" w:styleId="FootnoteAnchor">
    <w:name w:val="Footnote Anchor"/>
    <w:uiPriority w:val="99"/>
    <w:rPr>
      <w:vertAlign w:val="superscript"/>
    </w:rPr>
  </w:style>
  <w:style w:type="character" w:customStyle="1" w:styleId="EndnoteAnchor">
    <w:name w:val="Endnote Anchor"/>
    <w:uiPriority w:val="99"/>
    <w:rPr>
      <w:vertAlign w:val="superscript"/>
    </w:rPr>
  </w:style>
  <w:style w:type="character" w:customStyle="1" w:styleId="EndnoteCharacters">
    <w:name w:val="Endnote Characters"/>
    <w:uiPriority w:val="99"/>
  </w:style>
  <w:style w:type="paragraph" w:customStyle="1" w:styleId="Heading">
    <w:name w:val="Heading"/>
    <w:basedOn w:val="DefaultStyle"/>
    <w:next w:val="TextBody"/>
    <w:uiPriority w:val="99"/>
    <w:pPr>
      <w:keepNext/>
      <w:spacing w:before="240" w:after="120"/>
    </w:pPr>
    <w:rPr>
      <w:rFonts w:ascii="Arial" w:cs="Arial"/>
      <w:sz w:val="28"/>
      <w:szCs w:val="28"/>
      <w:lang w:eastAsia="pt-BR"/>
    </w:rPr>
  </w:style>
  <w:style w:type="paragraph" w:customStyle="1" w:styleId="TextBody">
    <w:name w:val="Text Body"/>
    <w:basedOn w:val="DefaultStyle"/>
    <w:uiPriority w:val="99"/>
    <w:pPr>
      <w:spacing w:after="120"/>
    </w:pPr>
    <w:rPr>
      <w:lang w:eastAsia="pt-BR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DefaultStyle"/>
    <w:uiPriority w:val="99"/>
    <w:qFormat/>
    <w:pPr>
      <w:suppressLineNumbers/>
      <w:spacing w:before="120" w:after="120"/>
    </w:pPr>
    <w:rPr>
      <w:i/>
      <w:iCs/>
      <w:sz w:val="24"/>
      <w:szCs w:val="24"/>
      <w:lang w:eastAsia="pt-BR"/>
    </w:rPr>
  </w:style>
  <w:style w:type="paragraph" w:customStyle="1" w:styleId="Index">
    <w:name w:val="Index"/>
    <w:basedOn w:val="DefaultStyle"/>
    <w:uiPriority w:val="99"/>
    <w:pPr>
      <w:suppressLineNumbers/>
    </w:pPr>
    <w:rPr>
      <w:lang w:eastAsia="pt-BR"/>
    </w:rPr>
  </w:style>
  <w:style w:type="paragraph" w:styleId="Cabealho">
    <w:name w:val="header"/>
    <w:basedOn w:val="DefaultStyle"/>
    <w:link w:val="CabealhoChar"/>
    <w:uiPriority w:val="99"/>
    <w:pPr>
      <w:tabs>
        <w:tab w:val="center" w:pos="4419"/>
        <w:tab w:val="right" w:pos="8838"/>
      </w:tabs>
    </w:pPr>
    <w:rPr>
      <w:lang w:eastAsia="pt-BR"/>
    </w:r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DefaultStyle"/>
    <w:link w:val="RodapChar"/>
    <w:uiPriority w:val="99"/>
    <w:pPr>
      <w:tabs>
        <w:tab w:val="center" w:pos="4419"/>
        <w:tab w:val="right" w:pos="8838"/>
      </w:tabs>
    </w:pPr>
    <w:rPr>
      <w:lang w:eastAsia="pt-BR"/>
    </w:rPr>
  </w:style>
  <w:style w:type="character" w:customStyle="1" w:styleId="RodapChar">
    <w:name w:val="Rodapé Char"/>
    <w:link w:val="Rodap"/>
    <w:uiPriority w:val="99"/>
    <w:semiHidden/>
    <w:locked/>
    <w:rPr>
      <w:rFonts w:cs="Times New Roman"/>
    </w:rPr>
  </w:style>
  <w:style w:type="paragraph" w:customStyle="1" w:styleId="AutoCorree7e3o">
    <w:name w:val="AutoCorreçe7ãe3o"/>
    <w:uiPriority w:val="9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/>
    </w:rPr>
  </w:style>
  <w:style w:type="paragraph" w:customStyle="1" w:styleId="Footnote">
    <w:name w:val="Footnote"/>
    <w:basedOn w:val="DefaultStyle"/>
    <w:uiPriority w:val="99"/>
    <w:rPr>
      <w:lang w:eastAsia="pt-BR"/>
    </w:rPr>
  </w:style>
  <w:style w:type="paragraph" w:customStyle="1" w:styleId="Textodebale3o">
    <w:name w:val="Texto de balãe3o"/>
    <w:basedOn w:val="DefaultStyle"/>
    <w:uiPriority w:val="99"/>
    <w:rPr>
      <w:rFonts w:ascii="Tahoma" w:cs="Tahoma"/>
      <w:sz w:val="16"/>
      <w:szCs w:val="16"/>
      <w:lang w:eastAsia="pt-BR"/>
    </w:rPr>
  </w:style>
  <w:style w:type="paragraph" w:styleId="Corpodetexto2">
    <w:name w:val="Body Text 2"/>
    <w:basedOn w:val="DefaultStyle"/>
    <w:link w:val="Corpodetexto2Char1"/>
    <w:uiPriority w:val="99"/>
    <w:pPr>
      <w:jc w:val="both"/>
    </w:pPr>
    <w:rPr>
      <w:rFonts w:ascii="Bookman Old Style" w:cs="Bookman Old Style"/>
      <w:b/>
      <w:bCs/>
      <w:sz w:val="28"/>
      <w:szCs w:val="28"/>
      <w:lang w:eastAsia="pt-BR"/>
    </w:rPr>
  </w:style>
  <w:style w:type="character" w:customStyle="1" w:styleId="Corpodetexto2Char1">
    <w:name w:val="Corpo de texto 2 Char1"/>
    <w:link w:val="Corpodetexto2"/>
    <w:uiPriority w:val="99"/>
    <w:semiHidden/>
    <w:locked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0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5046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PGE%20-%20Ac&#243;rd&#227;os\2013\acordao%202013.007.%20pagamento%20honor&#225;rios%20procurador%20cedido%20ao%20TCE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acordao 2013.007. pagamento honorários procurador cedido ao TCES</Template>
  <TotalTime>1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nº 32413106            Rubrica ___________       Fls</vt:lpstr>
    </vt:vector>
  </TitlesOfParts>
  <Company>Hewlett-Packard Company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nº 32413106            Rubrica ___________       Fls</dc:title>
  <dc:creator>Francine Kampff Pimentel</dc:creator>
  <cp:lastModifiedBy>Francine Kampff Pimentel</cp:lastModifiedBy>
  <cp:revision>3</cp:revision>
  <cp:lastPrinted>2013-06-20T10:53:00Z</cp:lastPrinted>
  <dcterms:created xsi:type="dcterms:W3CDTF">2014-02-13T15:38:00Z</dcterms:created>
  <dcterms:modified xsi:type="dcterms:W3CDTF">2014-02-13T17:30:00Z</dcterms:modified>
</cp:coreProperties>
</file>